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1210F" w14:textId="77777777" w:rsidR="003365DB" w:rsidRPr="003365DB" w:rsidRDefault="003365DB" w:rsidP="003365DB">
      <w:pPr>
        <w:spacing w:line="240" w:lineRule="auto"/>
        <w:textAlignment w:val="baseline"/>
        <w:rPr>
          <w:rFonts w:ascii="Aptos" w:eastAsia="Times New Roman" w:hAnsi="Aptos" w:cs="Times New Roman"/>
          <w:color w:val="000000"/>
          <w:kern w:val="0"/>
          <w:sz w:val="24"/>
          <w:szCs w:val="24"/>
          <w14:ligatures w14:val="none"/>
        </w:rPr>
      </w:pPr>
      <w:r w:rsidRPr="003365DB">
        <w:rPr>
          <w:rFonts w:ascii="Aptos" w:eastAsia="Times New Roman" w:hAnsi="Aptos" w:cs="Times New Roman"/>
          <w:color w:val="000000"/>
          <w:kern w:val="0"/>
          <w:sz w:val="24"/>
          <w:szCs w:val="24"/>
          <w14:ligatures w14:val="none"/>
        </w:rPr>
        <w:t>Investing in Artificial Intelligence </w:t>
      </w:r>
    </w:p>
    <w:p w14:paraId="259E1D42" w14:textId="77777777" w:rsidR="003365DB" w:rsidRPr="003365DB" w:rsidRDefault="003365DB" w:rsidP="003365DB">
      <w:pPr>
        <w:spacing w:line="240" w:lineRule="auto"/>
        <w:textAlignment w:val="baseline"/>
        <w:rPr>
          <w:rFonts w:ascii="Aptos" w:eastAsia="Times New Roman" w:hAnsi="Aptos" w:cs="Times New Roman"/>
          <w:color w:val="000000"/>
          <w:kern w:val="0"/>
          <w:sz w:val="24"/>
          <w:szCs w:val="24"/>
          <w14:ligatures w14:val="none"/>
        </w:rPr>
      </w:pPr>
      <w:r w:rsidRPr="003365DB">
        <w:rPr>
          <w:rFonts w:ascii="Aptos" w:eastAsia="Times New Roman" w:hAnsi="Aptos" w:cs="Times New Roman"/>
          <w:color w:val="000000"/>
          <w:kern w:val="0"/>
          <w:sz w:val="24"/>
          <w:szCs w:val="24"/>
          <w14:ligatures w14:val="none"/>
        </w:rPr>
        <w:t> </w:t>
      </w:r>
    </w:p>
    <w:p w14:paraId="3AE1BAB5" w14:textId="77777777" w:rsidR="00FA7A6C" w:rsidRDefault="003365DB" w:rsidP="003365DB">
      <w:pPr>
        <w:spacing w:line="240" w:lineRule="auto"/>
        <w:textAlignment w:val="baseline"/>
        <w:rPr>
          <w:rFonts w:ascii="Aptos" w:eastAsia="Times New Roman" w:hAnsi="Aptos" w:cs="Times New Roman"/>
          <w:color w:val="000000"/>
          <w:kern w:val="0"/>
          <w:sz w:val="24"/>
          <w:szCs w:val="24"/>
          <w14:ligatures w14:val="none"/>
        </w:rPr>
      </w:pPr>
      <w:r w:rsidRPr="003365DB">
        <w:rPr>
          <w:rFonts w:ascii="Aptos" w:eastAsia="Times New Roman" w:hAnsi="Aptos" w:cs="Times New Roman"/>
          <w:color w:val="000000"/>
          <w:kern w:val="0"/>
          <w:sz w:val="24"/>
          <w:szCs w:val="24"/>
          <w14:ligatures w14:val="none"/>
        </w:rPr>
        <w:t xml:space="preserve">By now most people have come to realize that AI’s impact on the world as we know it is going to be tremendous and we are still in the very early stages.  Investing in NVDIA (NVDA) which makes the chips necessary for AI to run is like investing in the picks and shovels of the gold rush.  However, the value of NVDA has already risen dramatically as the demand for its chips continues to surge. </w:t>
      </w:r>
    </w:p>
    <w:p w14:paraId="76ADE9BA" w14:textId="77777777" w:rsidR="00FA7A6C" w:rsidRDefault="003365DB" w:rsidP="003365DB">
      <w:pPr>
        <w:spacing w:line="240" w:lineRule="auto"/>
        <w:textAlignment w:val="baseline"/>
        <w:rPr>
          <w:rFonts w:ascii="Aptos" w:eastAsia="Times New Roman" w:hAnsi="Aptos" w:cs="Times New Roman"/>
          <w:color w:val="000000"/>
          <w:kern w:val="0"/>
          <w:sz w:val="24"/>
          <w:szCs w:val="24"/>
          <w14:ligatures w14:val="none"/>
        </w:rPr>
      </w:pPr>
      <w:r w:rsidRPr="003365DB">
        <w:rPr>
          <w:rFonts w:ascii="Aptos" w:eastAsia="Times New Roman" w:hAnsi="Aptos" w:cs="Times New Roman"/>
          <w:color w:val="000000"/>
          <w:kern w:val="0"/>
          <w:sz w:val="24"/>
          <w:szCs w:val="24"/>
          <w14:ligatures w14:val="none"/>
        </w:rPr>
        <w:t xml:space="preserve">On the platform side, one of the most well-known companies is called Open AI which created ChatGPT along with many other applications.  Although Open AI is not publicly traded, Microsoft (MSFT) is one of the largest investors in Open AI.  Microsoft shareholders indirectly own a part of Open AI.  However, Microsoft is such a large company that this stake in Open AI will be substantially diluted by the company’s other lines of business. </w:t>
      </w:r>
    </w:p>
    <w:p w14:paraId="70E2DD63" w14:textId="77777777" w:rsidR="00FA7A6C" w:rsidRDefault="003365DB" w:rsidP="003365DB">
      <w:pPr>
        <w:spacing w:line="240" w:lineRule="auto"/>
        <w:textAlignment w:val="baseline"/>
        <w:rPr>
          <w:rFonts w:ascii="Aptos" w:eastAsia="Times New Roman" w:hAnsi="Aptos" w:cs="Times New Roman"/>
          <w:color w:val="000000"/>
          <w:kern w:val="0"/>
          <w:sz w:val="24"/>
          <w:szCs w:val="24"/>
          <w14:ligatures w14:val="none"/>
        </w:rPr>
      </w:pPr>
      <w:r w:rsidRPr="003365DB">
        <w:rPr>
          <w:rFonts w:ascii="Aptos" w:eastAsia="Times New Roman" w:hAnsi="Aptos" w:cs="Times New Roman"/>
          <w:color w:val="000000"/>
          <w:kern w:val="0"/>
          <w:sz w:val="24"/>
          <w:szCs w:val="24"/>
          <w14:ligatures w14:val="none"/>
        </w:rPr>
        <w:t>Although Open AI is not a publicly traded company that does not mean that you can’t invest in it.  </w:t>
      </w:r>
    </w:p>
    <w:p w14:paraId="494DFA72" w14:textId="77777777" w:rsidR="00FA7A6C" w:rsidRDefault="003365DB" w:rsidP="003365DB">
      <w:pPr>
        <w:spacing w:line="240" w:lineRule="auto"/>
        <w:textAlignment w:val="baseline"/>
        <w:rPr>
          <w:rFonts w:ascii="Aptos" w:eastAsia="Times New Roman" w:hAnsi="Aptos" w:cs="Times New Roman"/>
          <w:color w:val="000000"/>
          <w:kern w:val="0"/>
          <w:sz w:val="24"/>
          <w:szCs w:val="24"/>
          <w14:ligatures w14:val="none"/>
        </w:rPr>
      </w:pPr>
      <w:r w:rsidRPr="003365DB">
        <w:rPr>
          <w:rFonts w:ascii="Aptos" w:eastAsia="Times New Roman" w:hAnsi="Aptos" w:cs="Times New Roman"/>
          <w:color w:val="000000"/>
          <w:kern w:val="0"/>
          <w:sz w:val="24"/>
          <w:szCs w:val="24"/>
          <w14:ligatures w14:val="none"/>
        </w:rPr>
        <w:t>Scores of private companies that are still in the pre-IPO stage are available to invest in through secondary markets.  Accredited investors can invest in companies like Open AI, Space X, Stripe</w:t>
      </w:r>
      <w:r w:rsidR="00FA7A6C">
        <w:rPr>
          <w:rFonts w:ascii="Aptos" w:eastAsia="Times New Roman" w:hAnsi="Aptos" w:cs="Times New Roman"/>
          <w:color w:val="000000"/>
          <w:kern w:val="0"/>
          <w:sz w:val="24"/>
          <w:szCs w:val="24"/>
          <w14:ligatures w14:val="none"/>
        </w:rPr>
        <w:t>,</w:t>
      </w:r>
      <w:r w:rsidRPr="003365DB">
        <w:rPr>
          <w:rFonts w:ascii="Aptos" w:eastAsia="Times New Roman" w:hAnsi="Aptos" w:cs="Times New Roman"/>
          <w:color w:val="000000"/>
          <w:kern w:val="0"/>
          <w:sz w:val="24"/>
          <w:szCs w:val="24"/>
          <w14:ligatures w14:val="none"/>
        </w:rPr>
        <w:t xml:space="preserve"> and Databricks even before they go public.  This can be one of the b</w:t>
      </w:r>
      <w:r w:rsidR="00FA7A6C">
        <w:rPr>
          <w:rFonts w:ascii="Aptos" w:eastAsia="Times New Roman" w:hAnsi="Aptos" w:cs="Times New Roman"/>
          <w:color w:val="000000"/>
          <w:kern w:val="0"/>
          <w:sz w:val="24"/>
          <w:szCs w:val="24"/>
          <w14:ligatures w14:val="none"/>
        </w:rPr>
        <w:t>etter</w:t>
      </w:r>
      <w:r w:rsidRPr="003365DB">
        <w:rPr>
          <w:rFonts w:ascii="Aptos" w:eastAsia="Times New Roman" w:hAnsi="Aptos" w:cs="Times New Roman"/>
          <w:color w:val="000000"/>
          <w:kern w:val="0"/>
          <w:sz w:val="24"/>
          <w:szCs w:val="24"/>
          <w14:ligatures w14:val="none"/>
        </w:rPr>
        <w:t xml:space="preserve"> ways to get exposure to pure play AI investing.  </w:t>
      </w:r>
    </w:p>
    <w:p w14:paraId="0EB40FD6" w14:textId="77777777" w:rsidR="00FA7A6C" w:rsidRDefault="003365DB" w:rsidP="003365DB">
      <w:pPr>
        <w:spacing w:line="240" w:lineRule="auto"/>
        <w:textAlignment w:val="baseline"/>
        <w:rPr>
          <w:rFonts w:ascii="Aptos" w:eastAsia="Times New Roman" w:hAnsi="Aptos" w:cs="Times New Roman"/>
          <w:color w:val="000000"/>
          <w:kern w:val="0"/>
          <w:sz w:val="24"/>
          <w:szCs w:val="24"/>
          <w14:ligatures w14:val="none"/>
        </w:rPr>
      </w:pPr>
      <w:r w:rsidRPr="003365DB">
        <w:rPr>
          <w:rFonts w:ascii="Aptos" w:eastAsia="Times New Roman" w:hAnsi="Aptos" w:cs="Times New Roman"/>
          <w:color w:val="000000"/>
          <w:kern w:val="0"/>
          <w:sz w:val="24"/>
          <w:szCs w:val="24"/>
          <w14:ligatures w14:val="none"/>
        </w:rPr>
        <w:t>With any stock either pre-IPO or post IPO there is a risk that the company’s business plan may not work as expected and the stock could go down.  However, with pre-IPO stocks there is far less liquidity than with publicly traded companies.  Recently companies have been waiting longer and becoming more established before going public.  Many companies are already generating substantial revenues.  </w:t>
      </w:r>
    </w:p>
    <w:p w14:paraId="3DD53A87" w14:textId="4F8DD1BD" w:rsidR="003365DB" w:rsidRPr="003365DB" w:rsidRDefault="003365DB" w:rsidP="003365DB">
      <w:pPr>
        <w:spacing w:line="240" w:lineRule="auto"/>
        <w:textAlignment w:val="baseline"/>
        <w:rPr>
          <w:rFonts w:ascii="Aptos" w:eastAsia="Times New Roman" w:hAnsi="Aptos" w:cs="Times New Roman"/>
          <w:color w:val="000000"/>
          <w:kern w:val="0"/>
          <w:sz w:val="24"/>
          <w:szCs w:val="24"/>
          <w14:ligatures w14:val="none"/>
        </w:rPr>
      </w:pPr>
      <w:r w:rsidRPr="003365DB">
        <w:rPr>
          <w:rFonts w:ascii="Aptos" w:eastAsia="Times New Roman" w:hAnsi="Aptos" w:cs="Times New Roman"/>
          <w:color w:val="000000"/>
          <w:kern w:val="0"/>
          <w:sz w:val="24"/>
          <w:szCs w:val="24"/>
          <w14:ligatures w14:val="none"/>
        </w:rPr>
        <w:t>The more established a company has become prior to investing even pre-IPO the less risk there is for a company’s future viability.  Investing pre-IPO in general often offers investors more returns than waiting until after a company has gone public to invest.  According to Investopedia, between 2000 and 2020 the average first day IPO return was 21.11%.  </w:t>
      </w:r>
    </w:p>
    <w:p w14:paraId="30931999" w14:textId="77777777" w:rsidR="00FA7A6C" w:rsidRDefault="00FA7A6C">
      <w:pPr>
        <w:rPr>
          <w:rFonts w:ascii="Calibri" w:hAnsi="Calibri" w:cs="Calibri"/>
          <w:color w:val="000000"/>
          <w:shd w:val="clear" w:color="auto" w:fill="FFFFFF"/>
        </w:rPr>
      </w:pPr>
    </w:p>
    <w:p w14:paraId="2A2CB1D2" w14:textId="77777777" w:rsidR="00FA7A6C" w:rsidRDefault="00FA7A6C">
      <w:pPr>
        <w:rPr>
          <w:rFonts w:ascii="Calibri" w:hAnsi="Calibri" w:cs="Calibri"/>
          <w:color w:val="000000"/>
          <w:shd w:val="clear" w:color="auto" w:fill="FFFFFF"/>
        </w:rPr>
      </w:pPr>
    </w:p>
    <w:p w14:paraId="683C9B88" w14:textId="1649D994" w:rsidR="00F8271D" w:rsidRDefault="003365DB">
      <w:r>
        <w:rPr>
          <w:rFonts w:ascii="Calibri" w:hAnsi="Calibri" w:cs="Calibri"/>
          <w:color w:val="000000"/>
          <w:shd w:val="clear" w:color="auto" w:fill="FFFFFF"/>
        </w:rPr>
        <w:t xml:space="preserve">Singer Wealth Advisors is an SEC registered investment advisory firm. </w:t>
      </w:r>
      <w:r w:rsidRPr="003365DB">
        <w:rPr>
          <w:rFonts w:ascii="Calibri" w:hAnsi="Calibri" w:cs="Calibri"/>
          <w:color w:val="000000"/>
          <w:shd w:val="clear" w:color="auto" w:fill="FFFFFF"/>
        </w:rPr>
        <w:t>Registration with the SEC does not imply a certain level of skill or training.</w:t>
      </w:r>
      <w:r w:rsidR="00FA7A6C">
        <w:rPr>
          <w:rFonts w:ascii="Calibri" w:hAnsi="Calibri" w:cs="Calibri"/>
          <w:color w:val="000000"/>
          <w:shd w:val="clear" w:color="auto" w:fill="FFFFFF"/>
        </w:rPr>
        <w:t xml:space="preserve"> </w:t>
      </w:r>
      <w:proofErr w:type="gramStart"/>
      <w:r>
        <w:rPr>
          <w:rFonts w:ascii="Calibri" w:hAnsi="Calibri" w:cs="Calibri"/>
          <w:color w:val="000000"/>
          <w:shd w:val="clear" w:color="auto" w:fill="FFFFFF"/>
        </w:rPr>
        <w:t>Investing</w:t>
      </w:r>
      <w:proofErr w:type="gramEnd"/>
      <w:r>
        <w:rPr>
          <w:rFonts w:ascii="Calibri" w:hAnsi="Calibri" w:cs="Calibri"/>
          <w:color w:val="000000"/>
          <w:shd w:val="clear" w:color="auto" w:fill="FFFFFF"/>
        </w:rPr>
        <w:t xml:space="preserve"> in Pre-IPOs or IPOs involves a high level of risk. Non-public stocks are illiquid until there is an IPO event, IPOs are not guaranteed. Discuss with your financial/tax professionals before investing. Past performance does not guarantee future results. Material provided for informational purposes only.</w:t>
      </w:r>
    </w:p>
    <w:sectPr w:rsidR="00F827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5DB"/>
    <w:rsid w:val="00095E7D"/>
    <w:rsid w:val="003365DB"/>
    <w:rsid w:val="004809FB"/>
    <w:rsid w:val="0054345A"/>
    <w:rsid w:val="009078FA"/>
    <w:rsid w:val="00986FF0"/>
    <w:rsid w:val="009A6CE9"/>
    <w:rsid w:val="00A53A8B"/>
    <w:rsid w:val="00AB5E83"/>
    <w:rsid w:val="00F8271D"/>
    <w:rsid w:val="00FA7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3ECC0"/>
  <w15:chartTrackingRefBased/>
  <w15:docId w15:val="{946F2CEF-B920-4C9B-AF54-09AEC554C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65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65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65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65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65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65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65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65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65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65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65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65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65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65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65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65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65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65DB"/>
    <w:rPr>
      <w:rFonts w:eastAsiaTheme="majorEastAsia" w:cstheme="majorBidi"/>
      <w:color w:val="272727" w:themeColor="text1" w:themeTint="D8"/>
    </w:rPr>
  </w:style>
  <w:style w:type="paragraph" w:styleId="Title">
    <w:name w:val="Title"/>
    <w:basedOn w:val="Normal"/>
    <w:next w:val="Normal"/>
    <w:link w:val="TitleChar"/>
    <w:uiPriority w:val="10"/>
    <w:qFormat/>
    <w:rsid w:val="003365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65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65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65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65DB"/>
    <w:pPr>
      <w:spacing w:before="160"/>
      <w:jc w:val="center"/>
    </w:pPr>
    <w:rPr>
      <w:i/>
      <w:iCs/>
      <w:color w:val="404040" w:themeColor="text1" w:themeTint="BF"/>
    </w:rPr>
  </w:style>
  <w:style w:type="character" w:customStyle="1" w:styleId="QuoteChar">
    <w:name w:val="Quote Char"/>
    <w:basedOn w:val="DefaultParagraphFont"/>
    <w:link w:val="Quote"/>
    <w:uiPriority w:val="29"/>
    <w:rsid w:val="003365DB"/>
    <w:rPr>
      <w:i/>
      <w:iCs/>
      <w:color w:val="404040" w:themeColor="text1" w:themeTint="BF"/>
    </w:rPr>
  </w:style>
  <w:style w:type="paragraph" w:styleId="ListParagraph">
    <w:name w:val="List Paragraph"/>
    <w:basedOn w:val="Normal"/>
    <w:uiPriority w:val="34"/>
    <w:qFormat/>
    <w:rsid w:val="003365DB"/>
    <w:pPr>
      <w:ind w:left="720"/>
      <w:contextualSpacing/>
    </w:pPr>
  </w:style>
  <w:style w:type="character" w:styleId="IntenseEmphasis">
    <w:name w:val="Intense Emphasis"/>
    <w:basedOn w:val="DefaultParagraphFont"/>
    <w:uiPriority w:val="21"/>
    <w:qFormat/>
    <w:rsid w:val="003365DB"/>
    <w:rPr>
      <w:i/>
      <w:iCs/>
      <w:color w:val="0F4761" w:themeColor="accent1" w:themeShade="BF"/>
    </w:rPr>
  </w:style>
  <w:style w:type="paragraph" w:styleId="IntenseQuote">
    <w:name w:val="Intense Quote"/>
    <w:basedOn w:val="Normal"/>
    <w:next w:val="Normal"/>
    <w:link w:val="IntenseQuoteChar"/>
    <w:uiPriority w:val="30"/>
    <w:qFormat/>
    <w:rsid w:val="003365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65DB"/>
    <w:rPr>
      <w:i/>
      <w:iCs/>
      <w:color w:val="0F4761" w:themeColor="accent1" w:themeShade="BF"/>
    </w:rPr>
  </w:style>
  <w:style w:type="character" w:styleId="IntenseReference">
    <w:name w:val="Intense Reference"/>
    <w:basedOn w:val="DefaultParagraphFont"/>
    <w:uiPriority w:val="32"/>
    <w:qFormat/>
    <w:rsid w:val="003365D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948243">
      <w:bodyDiv w:val="1"/>
      <w:marLeft w:val="0"/>
      <w:marRight w:val="0"/>
      <w:marTop w:val="0"/>
      <w:marBottom w:val="0"/>
      <w:divBdr>
        <w:top w:val="none" w:sz="0" w:space="0" w:color="auto"/>
        <w:left w:val="none" w:sz="0" w:space="0" w:color="auto"/>
        <w:bottom w:val="none" w:sz="0" w:space="0" w:color="auto"/>
        <w:right w:val="none" w:sz="0" w:space="0" w:color="auto"/>
      </w:divBdr>
      <w:divsChild>
        <w:div w:id="2119714663">
          <w:marLeft w:val="0"/>
          <w:marRight w:val="0"/>
          <w:marTop w:val="0"/>
          <w:marBottom w:val="160"/>
          <w:divBdr>
            <w:top w:val="none" w:sz="0" w:space="0" w:color="auto"/>
            <w:left w:val="none" w:sz="0" w:space="0" w:color="auto"/>
            <w:bottom w:val="none" w:sz="0" w:space="0" w:color="auto"/>
            <w:right w:val="none" w:sz="0" w:space="0" w:color="auto"/>
          </w:divBdr>
        </w:div>
        <w:div w:id="1530415554">
          <w:marLeft w:val="0"/>
          <w:marRight w:val="0"/>
          <w:marTop w:val="0"/>
          <w:marBottom w:val="160"/>
          <w:divBdr>
            <w:top w:val="none" w:sz="0" w:space="0" w:color="auto"/>
            <w:left w:val="none" w:sz="0" w:space="0" w:color="auto"/>
            <w:bottom w:val="none" w:sz="0" w:space="0" w:color="auto"/>
            <w:right w:val="none" w:sz="0" w:space="0" w:color="auto"/>
          </w:divBdr>
        </w:div>
        <w:div w:id="1025905893">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Comstock</dc:creator>
  <cp:keywords/>
  <dc:description/>
  <cp:lastModifiedBy>Caitlin Comstock</cp:lastModifiedBy>
  <cp:revision>1</cp:revision>
  <dcterms:created xsi:type="dcterms:W3CDTF">2024-07-02T15:10:00Z</dcterms:created>
  <dcterms:modified xsi:type="dcterms:W3CDTF">2024-07-02T17:54:00Z</dcterms:modified>
</cp:coreProperties>
</file>